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D7368" w14:textId="77777777" w:rsidR="00282F29" w:rsidRDefault="00282F29" w:rsidP="007E7477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  <w:sz w:val="20"/>
          <w:szCs w:val="20"/>
        </w:rPr>
      </w:pPr>
    </w:p>
    <w:p w14:paraId="511142D5" w14:textId="77777777" w:rsidR="007E7477" w:rsidRPr="007E7477" w:rsidRDefault="007E7477" w:rsidP="007E7477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7E7477">
        <w:rPr>
          <w:rFonts w:asciiTheme="minorHAnsi" w:hAnsiTheme="minorHAnsi" w:cstheme="minorHAnsi"/>
          <w:b/>
          <w:sz w:val="20"/>
          <w:szCs w:val="20"/>
        </w:rPr>
        <w:t>Anexa</w:t>
      </w:r>
      <w:proofErr w:type="spellEnd"/>
      <w:r w:rsidRPr="007E74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12D49">
        <w:rPr>
          <w:rFonts w:asciiTheme="minorHAnsi" w:hAnsiTheme="minorHAnsi" w:cstheme="minorHAnsi"/>
          <w:b/>
          <w:sz w:val="20"/>
          <w:szCs w:val="20"/>
        </w:rPr>
        <w:t>XV</w:t>
      </w:r>
    </w:p>
    <w:p w14:paraId="1E3DCE5B" w14:textId="77777777" w:rsidR="00282F29" w:rsidRPr="00282F29" w:rsidRDefault="00282F29" w:rsidP="007E7477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  <w:sz w:val="20"/>
          <w:szCs w:val="20"/>
        </w:rPr>
      </w:pPr>
    </w:p>
    <w:p w14:paraId="44223EE4" w14:textId="77777777" w:rsidR="00282F29" w:rsidRPr="003B418F" w:rsidRDefault="00282F29" w:rsidP="007E7477">
      <w:pPr>
        <w:pStyle w:val="al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</w:pPr>
      <w:r w:rsidRPr="003B418F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 xml:space="preserve">Model </w:t>
      </w:r>
      <w:proofErr w:type="spellStart"/>
      <w:r w:rsidRPr="003B418F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>Raport</w:t>
      </w:r>
      <w:proofErr w:type="spellEnd"/>
      <w:r w:rsidRPr="003B418F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>inspecție</w:t>
      </w:r>
      <w:proofErr w:type="spellEnd"/>
      <w:r w:rsidRPr="003B418F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hAnsiTheme="minorHAnsi" w:cstheme="minorHAnsi"/>
          <w:b/>
          <w:color w:val="1F4E79" w:themeColor="accent1" w:themeShade="80"/>
          <w:sz w:val="20"/>
          <w:szCs w:val="20"/>
        </w:rPr>
        <w:t>periodică</w:t>
      </w:r>
      <w:proofErr w:type="spellEnd"/>
    </w:p>
    <w:p w14:paraId="70D395C1" w14:textId="77777777" w:rsidR="00282F29" w:rsidRPr="00282F29" w:rsidRDefault="00282F29" w:rsidP="007E7477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  <w:sz w:val="20"/>
          <w:szCs w:val="20"/>
        </w:rPr>
      </w:pPr>
    </w:p>
    <w:p w14:paraId="002500A8" w14:textId="77777777" w:rsidR="00282F29" w:rsidRPr="00282F29" w:rsidRDefault="00282F29" w:rsidP="007E7477">
      <w:pPr>
        <w:spacing w:after="0" w:line="240" w:lineRule="auto"/>
        <w:jc w:val="both"/>
        <w:rPr>
          <w:rFonts w:cstheme="minorHAnsi"/>
          <w:bCs/>
          <w:snapToGrid w:val="0"/>
          <w:sz w:val="20"/>
          <w:szCs w:val="20"/>
          <w:lang w:val="ro-RO"/>
        </w:rPr>
      </w:pPr>
      <w:r w:rsidRPr="00282F29">
        <w:rPr>
          <w:rFonts w:cstheme="minorHAnsi"/>
          <w:bCs/>
          <w:snapToGrid w:val="0"/>
          <w:sz w:val="20"/>
          <w:szCs w:val="20"/>
          <w:lang w:val="ro-RO"/>
        </w:rPr>
        <w:t xml:space="preserve">Model realizat în conformitate cu </w:t>
      </w:r>
      <w:hyperlink r:id="rId9" w:anchor="p-200085237" w:tgtFrame="_blank" w:history="1">
        <w:r w:rsidRPr="00282F29">
          <w:rPr>
            <w:rFonts w:cstheme="minorHAnsi"/>
            <w:bCs/>
            <w:snapToGrid w:val="0"/>
            <w:sz w:val="20"/>
            <w:szCs w:val="20"/>
            <w:lang w:val="ro-RO"/>
          </w:rPr>
          <w:t>Ordinul nr. 606/2017 pentru aprobarea Metodologiei de contractare a inspecţiei de siguranţă rutieră, a Contractului-cadru încheiat între Autoritatea Rutieră Română - A.R.R. şi administratorii drumurilor, a metodologiilor de efectuare a inspecţiilor de siguranţă rutieră, a listei cu dispoziţiile obligatorii care pot fi dispuse de raportul de inspecţie de siguranţă rutieră, a modelului legitimaţiei nominale de control, a modelului procesului-verbal de constatare şi sancţionare contravenţională a contravenţiilor, dotării şi inscripţionării autovehiculelor de inspecţie şi control, precum şi a echipamentelor necesare efectuării inspecţiilor de siguranţă rutieră</w:t>
        </w:r>
      </w:hyperlink>
      <w:r w:rsidRPr="00282F29">
        <w:rPr>
          <w:rFonts w:cstheme="minorHAnsi"/>
          <w:bCs/>
          <w:snapToGrid w:val="0"/>
          <w:sz w:val="20"/>
          <w:szCs w:val="20"/>
          <w:lang w:val="ro-RO"/>
        </w:rPr>
        <w:t>. </w:t>
      </w:r>
    </w:p>
    <w:p w14:paraId="2696E41B" w14:textId="77777777" w:rsidR="00282F29" w:rsidRPr="00282F29" w:rsidRDefault="00282F29" w:rsidP="007E7477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05B9A6B2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Denumirea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sectorului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drum,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perioada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realizare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şi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inspectorul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/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echipa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inspecţie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;</w:t>
      </w:r>
    </w:p>
    <w:p w14:paraId="3E3CB615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Cuprinsul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raportului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;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inclusiv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date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despre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perioada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realizării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inspecției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periodice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,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despre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participanții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la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inspecție</w:t>
      </w:r>
      <w:proofErr w:type="spellEnd"/>
    </w:p>
    <w:p w14:paraId="3A221F0B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Scopul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inspecţiei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siguranţă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rutieră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;</w:t>
      </w:r>
    </w:p>
    <w:p w14:paraId="4A0DB38D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Descrierea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generală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a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sectorului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drum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inspectat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;</w:t>
      </w:r>
    </w:p>
    <w:p w14:paraId="0AADF7CD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Analiza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gradului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implementare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a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recomandărilor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cuprinse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în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rapoartele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inspecţie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siguranţă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rutieră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anterioare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;</w:t>
      </w:r>
    </w:p>
    <w:p w14:paraId="4F082334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Analiza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statisticilor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privind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accidentele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rutiere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înregistrate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pe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sectorul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drum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inspectat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;</w:t>
      </w:r>
    </w:p>
    <w:p w14:paraId="063B506B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Descrierea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detaliată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a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neconformităţilor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constatate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şi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motivarea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acestora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din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punctul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vedere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al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siguranţei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rutiere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;</w:t>
      </w:r>
    </w:p>
    <w:p w14:paraId="2C88DA23" w14:textId="77777777" w:rsidR="00667F14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Concluziile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care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conţin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dispoziţii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şi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recomandări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pentru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eliminarea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neconformităţilor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sau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pentru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reducerea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incidenţei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acestora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, la care se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vor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avea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în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vedere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rezultatele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unei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analize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tehnico-economice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,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după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caz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;</w:t>
      </w:r>
    </w:p>
    <w:p w14:paraId="19252C36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Opis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cu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planurile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,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documentele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,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standardele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şi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formularele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utilizate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.</w:t>
      </w:r>
    </w:p>
    <w:p w14:paraId="421DCFA3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Analiza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dispoziţiilor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şi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recomandărilor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din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rapoartele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inspecţie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siguranţă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rutieră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anterioare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, care au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fost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puse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în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execuţie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sau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nu.</w:t>
      </w:r>
    </w:p>
    <w:p w14:paraId="0CB366A7" w14:textId="77777777" w:rsidR="00282F29" w:rsidRPr="003B418F" w:rsidRDefault="00282F29" w:rsidP="007E7477">
      <w:pPr>
        <w:pStyle w:val="Heading1"/>
        <w:numPr>
          <w:ilvl w:val="0"/>
          <w:numId w:val="3"/>
        </w:numPr>
        <w:spacing w:before="0" w:line="240" w:lineRule="auto"/>
        <w:jc w:val="both"/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</w:pP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Setul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măsuri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care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constituie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dispoziţii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şi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care pot fi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dispuse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în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raportul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IP,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prin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lucrări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intervenţii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generale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executate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administratorul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drumului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, precum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şi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termenele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de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executare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 xml:space="preserve"> a </w:t>
      </w:r>
      <w:proofErr w:type="spellStart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acestora</w:t>
      </w:r>
      <w:proofErr w:type="spellEnd"/>
      <w:r w:rsidRPr="003B418F">
        <w:rPr>
          <w:rFonts w:asciiTheme="minorHAnsi" w:eastAsia="Times New Roman" w:hAnsiTheme="minorHAnsi" w:cstheme="minorHAnsi"/>
          <w:color w:val="1F4E79" w:themeColor="accent1" w:themeShade="80"/>
          <w:sz w:val="20"/>
          <w:szCs w:val="20"/>
        </w:rPr>
        <w:t>.</w:t>
      </w:r>
    </w:p>
    <w:p w14:paraId="5975BE40" w14:textId="77777777" w:rsidR="00282F29" w:rsidRPr="00282F29" w:rsidRDefault="00282F29" w:rsidP="007E747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5109630" w14:textId="77777777" w:rsidR="00282F29" w:rsidRPr="00282F29" w:rsidRDefault="00282F29" w:rsidP="007E747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0"/>
          <w:szCs w:val="20"/>
        </w:rPr>
      </w:pP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Termenele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de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executare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a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lucrărilor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curg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de la data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luării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la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cunoştinţă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a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raportului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de IP de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către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administratorul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drumului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şi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se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vor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devansa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cu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perioadele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de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timp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în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care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condiţiile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meteorologice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nu permit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efectuarea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 xml:space="preserve"> </w:t>
      </w:r>
      <w:proofErr w:type="spellStart"/>
      <w:r w:rsidRPr="00282F29">
        <w:rPr>
          <w:rFonts w:eastAsia="Times New Roman" w:cstheme="minorHAnsi"/>
          <w:color w:val="444444"/>
          <w:sz w:val="20"/>
          <w:szCs w:val="20"/>
        </w:rPr>
        <w:t>acestora</w:t>
      </w:r>
      <w:proofErr w:type="spellEnd"/>
      <w:r w:rsidRPr="00282F29">
        <w:rPr>
          <w:rFonts w:eastAsia="Times New Roman" w:cstheme="minorHAnsi"/>
          <w:color w:val="444444"/>
          <w:sz w:val="20"/>
          <w:szCs w:val="20"/>
        </w:rPr>
        <w:t>.</w:t>
      </w:r>
    </w:p>
    <w:p w14:paraId="385E695C" w14:textId="77777777" w:rsidR="00282F29" w:rsidRPr="00282F29" w:rsidRDefault="00282F29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Rapoartul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se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întocmește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în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două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exemplare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originale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, din care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unul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se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pune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la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dispoziţie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beneficiarului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,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iar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cel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de-al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doilea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se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arhivează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în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cadrul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Autorităţii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Rutiere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Române</w:t>
      </w:r>
      <w:proofErr w:type="spellEnd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 xml:space="preserve"> - A.R.R.</w:t>
      </w:r>
    </w:p>
    <w:p w14:paraId="18FCB18F" w14:textId="77777777" w:rsidR="00282F29" w:rsidRPr="00282F29" w:rsidRDefault="00282F29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</w:p>
    <w:p w14:paraId="31348B33" w14:textId="77777777" w:rsidR="00282F29" w:rsidRPr="00282F29" w:rsidRDefault="00B422FF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Setul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de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dispoziții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din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raportul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de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inspecție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de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siguranță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rutieră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periodică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pentru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deficiențele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constatate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este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obligatoriu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pentru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administratorul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drumului</w:t>
      </w:r>
      <w:proofErr w:type="spellEnd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inspectat</w:t>
      </w:r>
      <w:proofErr w:type="spellEnd"/>
    </w:p>
    <w:p w14:paraId="47CCEB9C" w14:textId="77777777" w:rsidR="00B422FF" w:rsidRDefault="00B422FF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</w:p>
    <w:p w14:paraId="1B778F79" w14:textId="77777777" w:rsidR="00B422FF" w:rsidRDefault="00B422FF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</w:p>
    <w:p w14:paraId="54C7D997" w14:textId="77777777" w:rsidR="00282F29" w:rsidRDefault="00282F29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  <w:proofErr w:type="spellStart"/>
      <w:r w:rsidRPr="00282F29">
        <w:rPr>
          <w:rFonts w:cstheme="minorHAnsi"/>
          <w:color w:val="444444"/>
          <w:sz w:val="20"/>
          <w:szCs w:val="20"/>
          <w:shd w:val="clear" w:color="auto" w:fill="FFFFFF"/>
        </w:rPr>
        <w:t>Semnatari</w:t>
      </w:r>
      <w:proofErr w:type="spellEnd"/>
    </w:p>
    <w:p w14:paraId="11F35E62" w14:textId="77777777" w:rsidR="005269E6" w:rsidRDefault="005269E6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</w:p>
    <w:p w14:paraId="407897FD" w14:textId="77777777" w:rsidR="005269E6" w:rsidRDefault="00B422FF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  <w:proofErr w:type="spellStart"/>
      <w:r w:rsidRPr="00B422FF">
        <w:rPr>
          <w:rFonts w:cstheme="minorHAnsi"/>
          <w:color w:val="444444"/>
          <w:sz w:val="20"/>
          <w:szCs w:val="20"/>
          <w:shd w:val="clear" w:color="auto" w:fill="FFFFFF"/>
        </w:rPr>
        <w:t>A</w:t>
      </w:r>
      <w:r w:rsidR="005269E6" w:rsidRPr="00B422FF">
        <w:rPr>
          <w:rFonts w:cstheme="minorHAnsi"/>
          <w:color w:val="444444"/>
          <w:sz w:val="20"/>
          <w:szCs w:val="20"/>
          <w:shd w:val="clear" w:color="auto" w:fill="FFFFFF"/>
        </w:rPr>
        <w:t>uditorul</w:t>
      </w:r>
      <w:proofErr w:type="spellEnd"/>
      <w:r w:rsidR="005269E6"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de </w:t>
      </w:r>
      <w:proofErr w:type="spellStart"/>
      <w:r w:rsidR="005269E6" w:rsidRPr="00B422FF">
        <w:rPr>
          <w:rFonts w:cstheme="minorHAnsi"/>
          <w:color w:val="444444"/>
          <w:sz w:val="20"/>
          <w:szCs w:val="20"/>
          <w:shd w:val="clear" w:color="auto" w:fill="FFFFFF"/>
        </w:rPr>
        <w:t>siguranță</w:t>
      </w:r>
      <w:proofErr w:type="spellEnd"/>
      <w:r w:rsidR="005269E6" w:rsidRPr="00B422FF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 w:rsidR="005269E6" w:rsidRPr="00B422FF">
        <w:rPr>
          <w:rFonts w:cstheme="minorHAnsi"/>
          <w:color w:val="444444"/>
          <w:sz w:val="20"/>
          <w:szCs w:val="20"/>
          <w:shd w:val="clear" w:color="auto" w:fill="FFFFFF"/>
        </w:rPr>
        <w:t>rutieră</w:t>
      </w:r>
      <w:proofErr w:type="spellEnd"/>
    </w:p>
    <w:p w14:paraId="6D6B9C33" w14:textId="77777777" w:rsidR="00B422FF" w:rsidRDefault="00B422FF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  <w:proofErr w:type="spellStart"/>
      <w:r>
        <w:rPr>
          <w:rFonts w:cstheme="minorHAnsi"/>
          <w:color w:val="444444"/>
          <w:sz w:val="20"/>
          <w:szCs w:val="20"/>
          <w:shd w:val="clear" w:color="auto" w:fill="FFFFFF"/>
        </w:rPr>
        <w:t>Beneficiarul</w:t>
      </w:r>
      <w:proofErr w:type="spellEnd"/>
    </w:p>
    <w:p w14:paraId="545441D1" w14:textId="77777777" w:rsidR="00B422FF" w:rsidRPr="00B422FF" w:rsidRDefault="009F5904" w:rsidP="007E7477">
      <w:pPr>
        <w:spacing w:after="0" w:line="240" w:lineRule="auto"/>
        <w:jc w:val="both"/>
        <w:rPr>
          <w:rFonts w:cstheme="minorHAnsi"/>
          <w:color w:val="444444"/>
          <w:sz w:val="20"/>
          <w:szCs w:val="20"/>
          <w:shd w:val="clear" w:color="auto" w:fill="FFFFFF"/>
        </w:rPr>
      </w:pPr>
      <w:proofErr w:type="spellStart"/>
      <w:r>
        <w:rPr>
          <w:rFonts w:cstheme="minorHAnsi"/>
          <w:color w:val="444444"/>
          <w:sz w:val="20"/>
          <w:szCs w:val="20"/>
          <w:shd w:val="clear" w:color="auto" w:fill="FFFFFF"/>
        </w:rPr>
        <w:t>Administratorul</w:t>
      </w:r>
      <w:proofErr w:type="spellEnd"/>
      <w:r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theme="minorHAnsi"/>
          <w:color w:val="444444"/>
          <w:sz w:val="20"/>
          <w:szCs w:val="20"/>
          <w:shd w:val="clear" w:color="auto" w:fill="FFFFFF"/>
        </w:rPr>
        <w:t>drumului</w:t>
      </w:r>
      <w:proofErr w:type="spellEnd"/>
    </w:p>
    <w:sectPr w:rsidR="00B422FF" w:rsidRPr="00B422F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E39D" w14:textId="77777777" w:rsidR="00982E51" w:rsidRDefault="00982E51" w:rsidP="00282F29">
      <w:pPr>
        <w:spacing w:after="0" w:line="240" w:lineRule="auto"/>
      </w:pPr>
      <w:r>
        <w:separator/>
      </w:r>
    </w:p>
  </w:endnote>
  <w:endnote w:type="continuationSeparator" w:id="0">
    <w:p w14:paraId="44616653" w14:textId="77777777" w:rsidR="00982E51" w:rsidRDefault="00982E51" w:rsidP="00282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DE157" w14:textId="77777777" w:rsidR="00982E51" w:rsidRDefault="00982E51" w:rsidP="00282F29">
      <w:pPr>
        <w:spacing w:after="0" w:line="240" w:lineRule="auto"/>
      </w:pPr>
      <w:r>
        <w:separator/>
      </w:r>
    </w:p>
  </w:footnote>
  <w:footnote w:type="continuationSeparator" w:id="0">
    <w:p w14:paraId="18B38EE8" w14:textId="77777777" w:rsidR="00982E51" w:rsidRDefault="00982E51" w:rsidP="00282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822C" w14:textId="77777777" w:rsidR="00282F29" w:rsidRPr="00F66ACC" w:rsidRDefault="00282F29" w:rsidP="00282F29">
    <w:pPr>
      <w:pStyle w:val="Footer"/>
      <w:shd w:val="clear" w:color="auto" w:fill="B4C6E7" w:themeFill="accent5" w:themeFillTint="66"/>
      <w:ind w:firstLine="720"/>
      <w:jc w:val="center"/>
      <w:rPr>
        <w:rFonts w:ascii="Trebuchet MS" w:hAnsi="Trebuchet MS"/>
        <w:b/>
        <w:i/>
      </w:rPr>
    </w:pPr>
    <w:r w:rsidRPr="00F66ACC">
      <w:rPr>
        <w:rFonts w:ascii="Trebuchet MS" w:hAnsi="Trebuchet MS"/>
        <w:b/>
        <w:i/>
        <w:noProof/>
        <w:shd w:val="clear" w:color="auto" w:fill="B1E8FB"/>
      </w:rPr>
      <w:drawing>
        <wp:anchor distT="0" distB="0" distL="114300" distR="114300" simplePos="0" relativeHeight="251659264" behindDoc="0" locked="0" layoutInCell="1" allowOverlap="1" wp14:anchorId="27D30CF0" wp14:editId="66A41FC3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8C8AC" w14:textId="77777777" w:rsidR="00282F29" w:rsidRDefault="00282F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528FC"/>
    <w:multiLevelType w:val="hybridMultilevel"/>
    <w:tmpl w:val="14CE7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40B95"/>
    <w:multiLevelType w:val="hybridMultilevel"/>
    <w:tmpl w:val="43C41BB2"/>
    <w:lvl w:ilvl="0" w:tplc="DAE04A1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7C1234"/>
    <w:multiLevelType w:val="hybridMultilevel"/>
    <w:tmpl w:val="FADC4FF6"/>
    <w:lvl w:ilvl="0" w:tplc="2FE6F5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07919">
    <w:abstractNumId w:val="1"/>
  </w:num>
  <w:num w:numId="2" w16cid:durableId="1983847946">
    <w:abstractNumId w:val="2"/>
  </w:num>
  <w:num w:numId="3" w16cid:durableId="878130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F29"/>
    <w:rsid w:val="00282F29"/>
    <w:rsid w:val="003B418F"/>
    <w:rsid w:val="005269E6"/>
    <w:rsid w:val="00667F14"/>
    <w:rsid w:val="007E7477"/>
    <w:rsid w:val="00982E51"/>
    <w:rsid w:val="009F5904"/>
    <w:rsid w:val="00B422FF"/>
    <w:rsid w:val="00D90162"/>
    <w:rsid w:val="00E1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D17E9"/>
  <w15:chartTrackingRefBased/>
  <w15:docId w15:val="{A49733DF-F887-4E5E-B645-4BB8D43A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2F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282F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">
    <w:name w:val="a_l"/>
    <w:basedOn w:val="Normal"/>
    <w:rsid w:val="002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2F2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82F29"/>
    <w:rPr>
      <w:color w:val="0000FF"/>
      <w:u w:val="single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282F29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282F29"/>
  </w:style>
  <w:style w:type="paragraph" w:styleId="Header">
    <w:name w:val="header"/>
    <w:basedOn w:val="Normal"/>
    <w:link w:val="HeaderChar"/>
    <w:uiPriority w:val="99"/>
    <w:unhideWhenUsed/>
    <w:rsid w:val="00282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F29"/>
  </w:style>
  <w:style w:type="paragraph" w:styleId="Footer">
    <w:name w:val="footer"/>
    <w:basedOn w:val="Normal"/>
    <w:link w:val="FooterChar"/>
    <w:uiPriority w:val="99"/>
    <w:unhideWhenUsed/>
    <w:rsid w:val="00282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F29"/>
  </w:style>
  <w:style w:type="character" w:customStyle="1" w:styleId="Heading1Char">
    <w:name w:val="Heading 1 Char"/>
    <w:basedOn w:val="DefaultParagraphFont"/>
    <w:link w:val="Heading1"/>
    <w:uiPriority w:val="9"/>
    <w:rsid w:val="00282F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lege5.ro/Gratuit/ge3dimjxgi3a/ordinul-nr-606-2017-pentru-aprobarea-metodologiei-de-contractare-a-inspectiei-de-siguranta-rutiera-a-contractului-cadru-incheiat-intre-autoritatea-rutiera-romana-arr-si-administratorii-drumurilor-a-me?pid=20008523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8" ma:contentTypeDescription="Create a new document." ma:contentTypeScope="" ma:versionID="28ee0eb5c29d38f947bd86c5f48d037b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a503c33ac51f97faebe551217f1275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0841-3C15-4B3D-82A3-B2EE900C0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08873-FB8E-4F04-B84C-5E6D1C14F5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Denumirea sectorului de drum, perioada de realizare şi inspectorul/echipa de ins</vt:lpstr>
      <vt:lpstr>Cuprinsul raportului; inclusiv date despre perioada realizării inspecției period</vt:lpstr>
      <vt:lpstr>Scopul inspecţiei de siguranţă rutieră;</vt:lpstr>
      <vt:lpstr>Descrierea generală a sectorului de drum inspectat;</vt:lpstr>
      <vt:lpstr>Analiza gradului de implementare a recomandărilor cuprinse în rapoartele de insp</vt:lpstr>
      <vt:lpstr>Analiza statisticilor privind accidentele rutiere înregistrate pe sectorul de dr</vt:lpstr>
      <vt:lpstr>Descrierea detaliată a neconformităţilor constatate şi motivarea acestora din pu</vt:lpstr>
      <vt:lpstr>Concluziile care conţin dispoziţii şi recomandări pentru eliminarea neconformită</vt:lpstr>
      <vt:lpstr>Opis cu planurile, documentele, standardele şi formularele utilizate.</vt:lpstr>
      <vt:lpstr>Analiza dispoziţiilor şi recomandărilor din rapoartele de inspecţie de siguranţă</vt:lpstr>
      <vt:lpstr>Setul de măsuri care constituie dispoziţii şi care pot fi dispuse în raportul de</vt:lpstr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Vasarhelyi Zsolt</cp:lastModifiedBy>
  <cp:revision>4</cp:revision>
  <dcterms:created xsi:type="dcterms:W3CDTF">2022-09-02T17:37:00Z</dcterms:created>
  <dcterms:modified xsi:type="dcterms:W3CDTF">2023-04-10T13:21:00Z</dcterms:modified>
</cp:coreProperties>
</file>